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Министерство образования Оренбургской области информирует, что приказом Министерства просвещения Российской Федерации от 04.03.2025 № 171  внесены</w:t>
      </w:r>
      <w:r>
        <w:rPr>
          <w:rFonts w:ascii="Tinos" w:hAnsi="Tinos" w:eastAsia="Tinos" w:cs="Tinos"/>
          <w:sz w:val="28"/>
          <w:szCs w:val="28"/>
        </w:rPr>
        <w:t xml:space="preserve"> изменения в Порядок приема на обучение по образовательным программам 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 458 (далее – Порядок приема).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Основные изменения в Порядке приема (в ред. Приказа Минпросвещения от 04.03.2025 № 171):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1057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1. Определен перечень документов, которые предъявляет (предъявляют) родители (законные 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гражданства: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подтверждающих родство заявителя (заявителей) (или законность представления прав ребенка);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</w:t>
      </w:r>
      <w:r>
        <w:rPr>
          <w:rFonts w:ascii="PT Serif" w:hAnsi="PT Serif" w:eastAsia="PT Serif" w:cs="PT Serif"/>
          <w:color w:val="22272f"/>
          <w:sz w:val="23"/>
        </w:rPr>
        <w:t xml:space="preserve">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 и т.д.</w:t>
      </w:r>
      <w:r>
        <w:rPr>
          <w:rFonts w:ascii="PT Serif" w:hAnsi="PT Serif" w:eastAsia="PT Serif" w:cs="PT Serif"/>
          <w:color w:val="22272f"/>
          <w:sz w:val="23"/>
        </w:rPr>
        <w:t xml:space="preserve">;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>
        <w:rPr>
          <w:rFonts w:ascii="PT Serif" w:hAnsi="PT Serif" w:eastAsia="PT Serif" w:cs="PT Serif"/>
          <w:color w:val="22272f"/>
          <w:sz w:val="16"/>
          <w:vertAlign w:val="superscript"/>
        </w:rPr>
        <w:t xml:space="preserve"> </w:t>
      </w:r>
      <w:r>
        <w:rPr>
          <w:rFonts w:ascii="PT Serif" w:hAnsi="PT Serif" w:eastAsia="PT Serif" w:cs="PT Serif"/>
          <w:color w:val="22272f"/>
          <w:sz w:val="23"/>
        </w:rPr>
        <w:t xml:space="preserve">;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</w:t>
      </w:r>
      <w:r>
        <w:rPr>
          <w:rFonts w:ascii="PT Serif" w:hAnsi="PT Serif" w:eastAsia="PT Serif" w:cs="PT Serif"/>
          <w:color w:val="22272f"/>
          <w:sz w:val="23"/>
        </w:rPr>
        <w:t xml:space="preserve">странных) государства (государств) (со 2 по 11 класс) (при наличии);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- паспорт иностранного гражданина либо</w:t>
      </w:r>
      <w:r>
        <w:rPr>
          <w:rFonts w:ascii="PT Serif" w:hAnsi="PT Serif" w:eastAsia="PT Serif" w:cs="PT Serif"/>
          <w:color w:val="22272f"/>
          <w:sz w:val="23"/>
        </w:rPr>
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rFonts w:ascii="PT Serif" w:hAnsi="PT Serif" w:eastAsia="PT Serif" w:cs="PT Serif"/>
          <w:color w:val="22272f"/>
          <w:sz w:val="23"/>
        </w:rPr>
        <w:t xml:space="preserve">;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подтверждающих присвоение родителю (родителям) (законному (законным) представителю (представителям) ИНН, СНИЛС (при наличии), а также СНИЛС</w:t>
      </w:r>
      <w:r>
        <w:rPr>
          <w:rFonts w:ascii="PT Serif" w:hAnsi="PT Serif" w:eastAsia="PT Serif" w:cs="PT Serif"/>
          <w:color w:val="22272f"/>
          <w:sz w:val="23"/>
        </w:rPr>
        <w:t xml:space="preserve">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</w:t>
      </w:r>
      <w:r>
        <w:rPr>
          <w:rFonts w:ascii="PT Serif" w:hAnsi="PT Serif" w:eastAsia="PT Serif" w:cs="PT Serif"/>
          <w:color w:val="22272f"/>
          <w:sz w:val="23"/>
        </w:rPr>
        <w:t xml:space="preserve">х</w:t>
      </w:r>
      <w:r>
        <w:rPr>
          <w:rFonts w:ascii="PT Serif" w:hAnsi="PT Serif" w:eastAsia="PT Serif" w:cs="PT Serif"/>
          <w:color w:val="22272f"/>
          <w:sz w:val="23"/>
        </w:rPr>
        <w:t xml:space="preserve">;</w:t>
      </w:r>
      <w:r/>
    </w:p>
    <w:p>
      <w:pPr>
        <w:ind w:left="0" w:right="0" w:firstLine="0"/>
        <w:jc w:val="both"/>
        <w:shd w:val="clear" w:color="ffffff" w:fill="ffffff"/>
        <w:rPr>
          <w:rFonts w:ascii="PT Serif" w:hAnsi="PT Serif" w:eastAsia="PT Serif" w:cs="PT Serif"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копии документов, подтверждающих осуществление родителем (законным представителем) трудовой деятельности (при наличии).</w:t>
      </w:r>
      <w:r>
        <w:rPr>
          <w:rFonts w:ascii="PT Serif" w:hAnsi="PT Serif" w:eastAsia="PT Serif" w:cs="PT Serif"/>
          <w:color w:val="22272f"/>
          <w:sz w:val="23"/>
          <w:szCs w:val="23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Serif" w:hAnsi="PT Serif" w:eastAsia="PT Serif" w:cs="PT Serif"/>
          <w:b/>
          <w:bCs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/>
          <w:bCs/>
          <w:color w:val="22272f"/>
          <w:sz w:val="23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PT Serif" w:hAnsi="PT Serif" w:eastAsia="PT Serif" w:cs="PT Serif"/>
          <w:b/>
          <w:bCs/>
          <w:color w:val="22272f"/>
          <w:sz w:val="16"/>
          <w:vertAlign w:val="superscript"/>
        </w:rPr>
        <w:t xml:space="preserve"> </w:t>
      </w:r>
      <w:r>
        <w:rPr>
          <w:rFonts w:ascii="PT Serif" w:hAnsi="PT Serif" w:eastAsia="PT Serif" w:cs="PT Serif"/>
          <w:b/>
          <w:bCs/>
          <w:color w:val="22272f"/>
          <w:sz w:val="23"/>
        </w:rPr>
        <w:t xml:space="preserve"> переводом на русский язык.</w:t>
      </w:r>
      <w:r>
        <w:rPr>
          <w:b/>
          <w:bCs/>
        </w:rPr>
      </w:r>
      <w:r>
        <w:rPr>
          <w:rFonts w:ascii="PT Serif" w:hAnsi="PT Serif" w:eastAsia="PT Serif" w:cs="PT Serif"/>
          <w:b/>
          <w:bCs/>
          <w:color w:val="22272f"/>
          <w:sz w:val="23"/>
          <w:szCs w:val="23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  <w:t xml:space="preserve">Если родители ребенка-иностранца являются должностными лицами международных (межгосударственных, межправительственн</w:t>
      </w: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  <w:t xml:space="preserve">ых) организаций или владельцами дипломатических, служебных паспортов, сотрудниками и членами административно-технического персонала аппаратов военного атташата, торговых представительств или членами их семей, то они должны предоставить следующие документы:</w:t>
      </w: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</w:r>
      <w:r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</w:r>
    </w:p>
    <w:p>
      <w:pPr>
        <w:ind w:left="0" w:right="0" w:firstLine="425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копию свидетельства о рождении ребенка;</w:t>
      </w:r>
      <w:r/>
    </w:p>
    <w:p>
      <w:pPr>
        <w:ind w:left="0" w:right="0" w:firstLine="425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копию паспорта;</w:t>
      </w:r>
      <w:r/>
    </w:p>
    <w:p>
      <w:pPr>
        <w:ind w:left="0" w:right="0" w:firstLine="425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справку о регистрации по месту жительства.</w:t>
      </w:r>
      <w:r/>
    </w:p>
    <w:p>
      <w:pPr>
        <w:ind w:left="0" w:right="0" w:firstLine="0"/>
        <w:jc w:val="both"/>
        <w:shd w:val="clear" w:color="ffffff" w:fill="ffffff"/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  <w:t xml:space="preserve">Если ребенок – гражданин Беларуси, то родители предъявляют  на русском языке или с заверенным переводом:</w:t>
      </w: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</w:r>
      <w:r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</w:r>
    </w:p>
    <w:p>
      <w:pPr>
        <w:pStyle w:val="838"/>
        <w:numPr>
          <w:ilvl w:val="0"/>
          <w:numId w:val="2"/>
        </w:numPr>
        <w:ind w:left="0" w:right="0" w:firstLine="425"/>
        <w:jc w:val="both"/>
        <w:shd w:val="clear" w:color="ffffff" w:fill="ffffff"/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  <w:t xml:space="preserve">копии документов, подтверждающих родство заявителя или законность представления прав ребенка;</w:t>
      </w: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</w:r>
      <w:r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</w:r>
    </w:p>
    <w:p>
      <w:pPr>
        <w:pStyle w:val="838"/>
        <w:numPr>
          <w:ilvl w:val="0"/>
          <w:numId w:val="2"/>
        </w:numPr>
        <w:ind w:left="0" w:right="0" w:firstLine="425"/>
        <w:jc w:val="both"/>
        <w:shd w:val="clear" w:color="ffffff" w:fill="ffffff"/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  <w:t xml:space="preserve"> копии документов, удостоверяющих личность ребенка.</w:t>
      </w:r>
      <w:r>
        <w:rPr>
          <w:rFonts w:ascii="PT Serif" w:hAnsi="PT Serif" w:eastAsia="PT Serif" w:cs="PT Serif"/>
          <w:b w:val="0"/>
          <w:bCs w:val="0"/>
          <w:color w:val="22272f"/>
          <w:sz w:val="23"/>
          <w:highlight w:val="none"/>
        </w:rPr>
      </w:r>
      <w:r>
        <w:rPr>
          <w:rFonts w:ascii="PT Serif" w:hAnsi="PT Serif" w:eastAsia="PT Serif" w:cs="PT Serif"/>
          <w:b w:val="0"/>
          <w:bCs w:val="0"/>
          <w:color w:val="22272f"/>
          <w:sz w:val="23"/>
          <w:szCs w:val="23"/>
          <w:highlight w:val="none"/>
        </w:rPr>
      </w:r>
    </w:p>
    <w:p>
      <w:pPr>
        <w:ind w:left="0" w:right="0" w:firstLine="1057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2. Опре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делен порядок действия общеобразовательной организации по приему и проверке документов предъявляемых родителями (законными представителями) ребенка, являющегося иностранным гражданином или лицом без гражданства, а также порядок направления на тестирование.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течение 5 рабочих дней общеобразовательная организация проводит проверку  комплектности документов.</w:t>
      </w:r>
      <w:r/>
    </w:p>
    <w:p>
      <w:pPr>
        <w:ind w:left="0" w:right="0" w:firstLine="0"/>
        <w:jc w:val="both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случае представления неполного комплекта документов  общеобразовательная организация возвращает заявление без его рассмотрения.</w:t>
      </w:r>
      <w:r/>
    </w:p>
    <w:p>
      <w:pPr>
        <w:ind w:left="0" w:right="0" w:firstLine="0"/>
        <w:jc w:val="both"/>
        <w:shd w:val="clear" w:color="ffffff" w:fill="ffffff"/>
        <w:rPr>
          <w:rFonts w:ascii="PT Serif" w:hAnsi="PT Serif" w:eastAsia="PT Serif" w:cs="PT Serif"/>
          <w:color w:val="22272f"/>
          <w:sz w:val="23"/>
          <w:szCs w:val="23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</w:rPr>
        <w:t xml:space="preserve"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Для этого </w:t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  <w:r>
        <w:rPr>
          <w:rFonts w:ascii="PT Serif" w:hAnsi="PT Serif" w:eastAsia="PT Serif" w:cs="PT Serif"/>
          <w:color w:val="22272f"/>
          <w:sz w:val="23"/>
        </w:rPr>
      </w:r>
      <w:r>
        <w:rPr>
          <w:rFonts w:ascii="PT Serif" w:hAnsi="PT Serif" w:eastAsia="PT Serif" w:cs="PT Serif"/>
          <w:color w:val="22272f"/>
          <w:sz w:val="23"/>
          <w:szCs w:val="23"/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PT Serif" w:hAnsi="PT Serif" w:eastAsia="PT Serif" w:cs="PT Serif"/>
          <w:sz w:val="23"/>
          <w:szCs w:val="23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22272f"/>
          <w:sz w:val="23"/>
          <w:highlight w:val="none"/>
        </w:rPr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</w:t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</w:t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оения образовательных программ начального общего, основного общего и среднего общего образования (далее - тестирование).</w:t>
      </w:r>
      <w:r>
        <w:rPr>
          <w:rFonts w:ascii="PT Serif" w:hAnsi="PT Serif" w:eastAsia="PT Serif" w:cs="PT Serif"/>
          <w:color w:val="22272f"/>
          <w:sz w:val="23"/>
          <w:highlight w:val="none"/>
        </w:rPr>
      </w:r>
      <w:r>
        <w:rPr>
          <w:rFonts w:ascii="PT Serif" w:hAnsi="PT Serif" w:eastAsia="PT Serif" w:cs="PT Serif"/>
          <w:sz w:val="23"/>
          <w:szCs w:val="23"/>
        </w:rPr>
      </w:r>
    </w:p>
    <w:p>
      <w:pPr>
        <w:ind w:left="0" w:right="0" w:firstLine="1057"/>
        <w:jc w:val="both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</w:t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в заявлении о приеме на обучение, и в личный кабинет ЕПГУ (при наличии).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1057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</w:t>
      </w:r>
      <w:r>
        <w:rPr>
          <w:rFonts w:ascii="PT Serif" w:hAnsi="PT Serif" w:eastAsia="PT Serif" w:cs="PT Serif"/>
          <w:color w:val="22272f"/>
          <w:sz w:val="23"/>
          <w:highlight w:val="white"/>
        </w:rPr>
        <w:t xml:space="preserve"> организацией направляется по адресу (почтовый или электронный), указанному в заявлении о приеме на обучение, и в личный кабинет ЕПГУ (при наличии)."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ivber</cp:lastModifiedBy>
  <cp:revision>2</cp:revision>
  <dcterms:modified xsi:type="dcterms:W3CDTF">2025-03-21T07:40:59Z</dcterms:modified>
</cp:coreProperties>
</file>